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56" w:rsidRDefault="0063125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  <w:r>
        <w:rPr>
          <w:rStyle w:val="a4"/>
        </w:rPr>
        <w:t>Право на безоплатну правову допомогу – роз’яснює Міністр юстиції Павло Петренко</w:t>
      </w:r>
    </w:p>
    <w:p w:rsidR="00631256" w:rsidRDefault="0063125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</w:p>
    <w:p w:rsidR="008D3886" w:rsidRPr="00110017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i/>
        </w:rPr>
      </w:pPr>
      <w:r w:rsidRPr="00110017">
        <w:rPr>
          <w:rStyle w:val="a4"/>
          <w:b w:val="0"/>
          <w:i/>
        </w:rPr>
        <w:t>Доброго дня, пане Міністре! Так трапилося в моєму житті, що потребую звернутися до адвоката за консультацією. Я сирота, працюю, але отримую мінімальну зарплату і платити за послуги адвоката не в змозі. Знайомі розповіли мені про те, що можна отримати державну безкоштовну правову допомогу. Розкажіть</w:t>
      </w:r>
      <w:r w:rsidR="000D7473" w:rsidRPr="00110017">
        <w:rPr>
          <w:rStyle w:val="a4"/>
          <w:b w:val="0"/>
          <w:i/>
        </w:rPr>
        <w:t>,</w:t>
      </w:r>
      <w:r w:rsidR="00DA5AD8" w:rsidRPr="00110017">
        <w:rPr>
          <w:rStyle w:val="a4"/>
          <w:b w:val="0"/>
          <w:i/>
        </w:rPr>
        <w:t xml:space="preserve"> </w:t>
      </w:r>
      <w:r w:rsidRPr="00110017">
        <w:rPr>
          <w:rStyle w:val="a4"/>
          <w:b w:val="0"/>
          <w:i/>
        </w:rPr>
        <w:t>будь ласка, що це і чи маю я право на таку допомогу?</w:t>
      </w: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</w:rPr>
      </w:pPr>
      <w:r>
        <w:rPr>
          <w:rStyle w:val="a4"/>
        </w:rPr>
        <w:t>Катерина Прибережна</w:t>
      </w: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Право на безоплатну правову допомогу - гарантована </w:t>
      </w:r>
      <w:hyperlink r:id="rId5" w:tgtFrame="_blank" w:history="1">
        <w:r w:rsidRPr="008D3886">
          <w:rPr>
            <w:rStyle w:val="a5"/>
            <w:color w:val="auto"/>
            <w:u w:val="none"/>
            <w:shd w:val="clear" w:color="auto" w:fill="FFFFFF"/>
          </w:rPr>
          <w:t>Конституцією України</w:t>
        </w:r>
      </w:hyperlink>
      <w:r>
        <w:rPr>
          <w:color w:val="000000"/>
          <w:shd w:val="clear" w:color="auto" w:fill="FFFFFF"/>
        </w:rPr>
        <w:t> можливість отримати в повному обсязі безоплатну первинну правову допомогу, а також можливість для певної категорії осіб отримати безоплатну вторинну правову допомогу, у випадках передбачених Законом України «Про безоплатну правову допомогу»</w:t>
      </w: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  <w:r>
        <w:rPr>
          <w:rStyle w:val="a4"/>
        </w:rPr>
        <w:t>Що таке безоплатна правова допомога?</w:t>
      </w: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rvts9"/>
        </w:rPr>
      </w:pPr>
      <w:r>
        <w:rPr>
          <w:rStyle w:val="a4"/>
          <w:b w:val="0"/>
        </w:rPr>
        <w:t>Це</w:t>
      </w:r>
      <w:r>
        <w:t xml:space="preserve"> правова допомога, яка гарантується державою та повністю або частково надається за рахунок коштів Державного бюджету, місцевих бюджетів та інших джерел, які не заборонені законом.</w:t>
      </w:r>
      <w:r w:rsidR="00F648A6">
        <w:t xml:space="preserve"> </w:t>
      </w:r>
      <w:r>
        <w:t>Безоплатна правова допомога  може бути первинною або вторинною.</w:t>
      </w:r>
    </w:p>
    <w:p w:rsidR="008D3886" w:rsidRDefault="008D3886" w:rsidP="008D3886">
      <w:pPr>
        <w:pStyle w:val="a3"/>
        <w:spacing w:line="263" w:lineRule="atLeast"/>
        <w:jc w:val="both"/>
      </w:pPr>
      <w:r>
        <w:rPr>
          <w:rStyle w:val="a4"/>
        </w:rPr>
        <w:t>У чому різниця  між первинною та вторинною правовою допомогою?</w:t>
      </w:r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  <w:u w:val="single"/>
        </w:rPr>
        <w:t>Безоплатна первинна правова допомога</w:t>
      </w:r>
      <w:r>
        <w:rPr>
          <w:color w:val="000000"/>
        </w:rPr>
        <w:t xml:space="preserve"> (далі - БППД) полягає в інформуванні особи про її права і свободи, порядок їх реалізації, відновлення у випадку їх порушення та порядок оскарження рішень, дій чи бездіяльності органів державної влади, органів місцевого самоврядування, посадових і службових осіб.</w:t>
      </w:r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БППД включає такі види правових послуг:</w:t>
      </w:r>
    </w:p>
    <w:p w:rsidR="008D3886" w:rsidRDefault="008D3886" w:rsidP="008D3886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надання правової інформації;</w:t>
      </w:r>
    </w:p>
    <w:p w:rsidR="008D3886" w:rsidRDefault="008D3886" w:rsidP="008D3886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надання консультацій і роз'яснень з правових питань;</w:t>
      </w:r>
    </w:p>
    <w:p w:rsidR="008D3886" w:rsidRDefault="008D3886" w:rsidP="008D3886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складення заяв, скарг та інших документів правового характеру (крім документів процесуального характеру);</w:t>
      </w:r>
    </w:p>
    <w:p w:rsidR="008D3886" w:rsidRDefault="008D3886" w:rsidP="008D3886">
      <w:pPr>
        <w:pStyle w:val="rvps2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надання допомоги в забезпеченні доступу особи до вторинної правової допомоги та медіації.</w:t>
      </w:r>
    </w:p>
    <w:p w:rsidR="008D3886" w:rsidRDefault="008D3886" w:rsidP="008D3886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trike/>
        </w:rPr>
      </w:pPr>
      <w:r>
        <w:rPr>
          <w:color w:val="000000"/>
          <w:u w:val="single"/>
          <w:shd w:val="clear" w:color="auto" w:fill="FFFFFF"/>
        </w:rPr>
        <w:t>Безоплатна вторинна правова допомога</w:t>
      </w:r>
      <w:r>
        <w:rPr>
          <w:color w:val="000000"/>
          <w:shd w:val="clear" w:color="auto" w:fill="FFFFFF"/>
        </w:rPr>
        <w:t xml:space="preserve"> (далі - БВПД) </w:t>
      </w:r>
      <w:r>
        <w:t>полягає у створенні рівних можливостей для доступу осіб до правосуддя, і включає такі види правових послуг:</w:t>
      </w:r>
    </w:p>
    <w:p w:rsidR="008D3886" w:rsidRDefault="008D3886" w:rsidP="008D388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jc w:val="both"/>
      </w:pPr>
      <w:r>
        <w:t xml:space="preserve">захист від обвинувачення; </w:t>
      </w:r>
    </w:p>
    <w:p w:rsidR="008D3886" w:rsidRDefault="008D3886" w:rsidP="008D388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jc w:val="both"/>
      </w:pPr>
      <w:r>
        <w:t xml:space="preserve">здійснення представництва інтересів осіб, що мають право на таку допомогу в судах, інших державних органах, органах місцевого самоврядування, перед іншими особами; </w:t>
      </w:r>
    </w:p>
    <w:p w:rsidR="008D3886" w:rsidRDefault="008D3886" w:rsidP="008D388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jc w:val="both"/>
      </w:pPr>
      <w:r>
        <w:t>складання документів процесуального характеру.</w:t>
      </w:r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rStyle w:val="rvts9"/>
          <w:b/>
          <w:bCs/>
          <w:color w:val="000000"/>
        </w:rPr>
        <w:t>Хто має право</w:t>
      </w:r>
      <w:r>
        <w:rPr>
          <w:b/>
          <w:color w:val="000000"/>
        </w:rPr>
        <w:t xml:space="preserve"> на безоплатну первинну правову допомогу?</w:t>
      </w:r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a4"/>
          <w:bCs w:val="0"/>
        </w:rPr>
      </w:pPr>
      <w:r>
        <w:rPr>
          <w:color w:val="000000"/>
        </w:rPr>
        <w:t xml:space="preserve">Отримати  безоплатну правову допомогу  можуть громадяни України та </w:t>
      </w:r>
      <w:r>
        <w:rPr>
          <w:shd w:val="clear" w:color="auto" w:fill="FFFFFF"/>
        </w:rPr>
        <w:t xml:space="preserve">іноземні громадяни, особи без громадянства, біженці,  </w:t>
      </w:r>
      <w:r>
        <w:t>чи особи, які потребують  додаткового захисту,</w:t>
      </w:r>
      <w:r>
        <w:rPr>
          <w:color w:val="000000"/>
        </w:rPr>
        <w:t xml:space="preserve"> які перебувають під юрисдикцією України.</w:t>
      </w:r>
    </w:p>
    <w:p w:rsidR="008D3886" w:rsidRDefault="008D3886" w:rsidP="008D3886">
      <w:pPr>
        <w:pStyle w:val="a3"/>
        <w:spacing w:line="263" w:lineRule="atLeast"/>
      </w:pPr>
      <w:r>
        <w:rPr>
          <w:rStyle w:val="a4"/>
        </w:rPr>
        <w:t>Хто може отримати безоплатну вторинну правову допомогу?</w:t>
      </w:r>
    </w:p>
    <w:p w:rsidR="008D3886" w:rsidRDefault="008D3886" w:rsidP="008D3886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>
        <w:rPr>
          <w:color w:val="000000"/>
          <w:shd w:val="clear" w:color="auto" w:fill="FFFFFF"/>
        </w:rPr>
        <w:lastRenderedPageBreak/>
        <w:t xml:space="preserve">Право на </w:t>
      </w:r>
      <w:r>
        <w:t>БВПД мають такі категорії осіб:</w:t>
      </w:r>
    </w:p>
    <w:p w:rsidR="008D3886" w:rsidRDefault="008D3886" w:rsidP="008D3886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>
        <w:t>особи, якщо їхній середньомісячний дохід не перевищує двох розмірів прожиткового мінімуму для осіб, які належать до основних соціальних і демографічних груп населення, а також особи з інвалідністю, які отримують пенсію або допомогу у розмірі, що не перевищує двох прожиткових мінімумів (4014 грн) для непрацездатних осіб;</w:t>
      </w:r>
    </w:p>
    <w:p w:rsidR="00EF1B96" w:rsidRDefault="008D3886" w:rsidP="00EF1B96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>
        <w:t>діти, у тому числі діти-сироти, діти, позбавлені батьківського піклування, діти, які перебувають у складних життєвих обставинах, діти, які постраждали внаслідок воєнних дій чи збройного конфлікту;</w:t>
      </w:r>
    </w:p>
    <w:p w:rsidR="008D3886" w:rsidRDefault="008D3886" w:rsidP="00EF1B96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jc w:val="both"/>
      </w:pPr>
      <w:r>
        <w:t xml:space="preserve">внутрішньо переміщені особи та </w:t>
      </w:r>
      <w:r w:rsidRPr="00EF1B96">
        <w:rPr>
          <w:color w:val="000000"/>
          <w:shd w:val="clear" w:color="auto" w:fill="FFFFFF"/>
        </w:rPr>
        <w:t>громадяни України, які звернулися із заявою про взяття їх на облік як внутрішньо переміщених осіб</w:t>
      </w:r>
      <w:r>
        <w:t>;</w:t>
      </w:r>
    </w:p>
    <w:p w:rsidR="008D3886" w:rsidRDefault="008D3886" w:rsidP="008D388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особи, до яких застосовано адміністративне затримання чи адміністративний арешт;</w:t>
      </w:r>
    </w:p>
    <w:p w:rsidR="008D3886" w:rsidRDefault="008D3886" w:rsidP="00F1740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особи, які відповідно до положень кримінального процесуального законодавства вважаються затриманими</w:t>
      </w:r>
      <w:r>
        <w:rPr>
          <w:color w:val="000000"/>
        </w:rPr>
        <w:t>;</w:t>
      </w:r>
    </w:p>
    <w:p w:rsidR="008D3886" w:rsidRDefault="008D3886" w:rsidP="008D388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особи, на яких поширюється дія Закону України «Про біженців та осіб, які потребують додаткового або тимчасового захисту»;</w:t>
      </w:r>
    </w:p>
    <w:p w:rsidR="008D3886" w:rsidRDefault="008D3886" w:rsidP="008D388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ветерани війни та особи, на яких поширюється дія Закону України «Про статус ветеранів війни, гарантії їх соціального захисту</w:t>
      </w:r>
      <w:bookmarkStart w:id="0" w:name="_GoBack"/>
      <w:bookmarkEnd w:id="0"/>
      <w:r>
        <w:t>;</w:t>
      </w:r>
    </w:p>
    <w:p w:rsidR="008D3886" w:rsidRDefault="008D3886" w:rsidP="00EF1B9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особи, щодо яких суд розглядає справу про обмеження цивільної дієздатності фізичної особи, визнання фізичної особи недієздатною та поновлення цивільної дієздатності фізичної особи;</w:t>
      </w:r>
    </w:p>
    <w:p w:rsidR="008D3886" w:rsidRDefault="008D3886" w:rsidP="008D388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особи, які постраждали від домашнього насильства або насильства з</w:t>
      </w:r>
      <w:r w:rsidR="00EF1B96">
        <w:t>а ознакою статі.</w:t>
      </w:r>
    </w:p>
    <w:p w:rsidR="00EF1B96" w:rsidRDefault="00EF1B9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</w:rPr>
      </w:pPr>
      <w:r>
        <w:rPr>
          <w:rStyle w:val="a4"/>
        </w:rPr>
        <w:t xml:space="preserve">Чи може бути відмовлено  </w:t>
      </w:r>
      <w:r>
        <w:rPr>
          <w:b/>
          <w:color w:val="000000"/>
        </w:rPr>
        <w:t>у</w:t>
      </w:r>
      <w:r>
        <w:rPr>
          <w:color w:val="000000"/>
        </w:rPr>
        <w:t xml:space="preserve"> </w:t>
      </w:r>
      <w:r>
        <w:rPr>
          <w:b/>
          <w:color w:val="000000"/>
        </w:rPr>
        <w:t>наданні безоплатної вторинної правової допомоги?</w:t>
      </w:r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Так, існують підстави для відмови в наданні безоплатної вторинної правової допомоги, зокрема:</w:t>
      </w:r>
    </w:p>
    <w:p w:rsidR="008D3886" w:rsidRDefault="008D3886" w:rsidP="008D3886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1" w:name="n153"/>
      <w:bookmarkStart w:id="2" w:name="n154"/>
      <w:bookmarkEnd w:id="1"/>
      <w:bookmarkEnd w:id="2"/>
      <w:r>
        <w:rPr>
          <w:color w:val="000000"/>
        </w:rPr>
        <w:t xml:space="preserve">особа не належить до жодної з категорій осіб, які можуть претендувати на надання БВПД;  </w:t>
      </w:r>
      <w:bookmarkStart w:id="3" w:name="n155"/>
      <w:bookmarkEnd w:id="3"/>
    </w:p>
    <w:p w:rsidR="008D3886" w:rsidRDefault="008D3886" w:rsidP="008D3886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надання неправдивих відомостей про себе або фальшивих документів,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з метою віднесення до однієї із категорій осіб, які мають право на БВПД;</w:t>
      </w:r>
    </w:p>
    <w:p w:rsidR="008D3886" w:rsidRDefault="008D3886" w:rsidP="008D3886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4" w:name="n156"/>
      <w:bookmarkEnd w:id="4"/>
      <w:r>
        <w:rPr>
          <w:color w:val="000000"/>
        </w:rPr>
        <w:t>вимоги особи про захист або відновлення її прав є неправомірними;</w:t>
      </w:r>
    </w:p>
    <w:p w:rsidR="008D3886" w:rsidRDefault="008D3886" w:rsidP="008D3886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5" w:name="n157"/>
      <w:bookmarkEnd w:id="5"/>
      <w:r>
        <w:rPr>
          <w:color w:val="000000"/>
        </w:rPr>
        <w:t>особі раніше надавалася БВПД з одного і того ж питання;</w:t>
      </w:r>
    </w:p>
    <w:p w:rsidR="008D3886" w:rsidRDefault="008D3886" w:rsidP="008D3886">
      <w:pPr>
        <w:pStyle w:val="rvps2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6" w:name="n158"/>
      <w:bookmarkEnd w:id="6"/>
      <w:r>
        <w:rPr>
          <w:color w:val="000000"/>
        </w:rPr>
        <w:t>особа використала всі національні засоби правового захисту у справі, з якої звертається за наданням БВПД.</w:t>
      </w:r>
      <w:bookmarkStart w:id="7" w:name="n159"/>
      <w:bookmarkEnd w:id="7"/>
    </w:p>
    <w:p w:rsidR="008D3886" w:rsidRDefault="008D3886" w:rsidP="008D3886">
      <w:pPr>
        <w:pStyle w:val="rvps2"/>
        <w:shd w:val="clear" w:color="auto" w:fill="FFFFFF"/>
        <w:spacing w:before="0" w:beforeAutospacing="0" w:after="150" w:afterAutospacing="0"/>
        <w:ind w:left="720"/>
        <w:jc w:val="both"/>
        <w:rPr>
          <w:rStyle w:val="a4"/>
          <w:b w:val="0"/>
          <w:bCs w:val="0"/>
        </w:rPr>
      </w:pP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4"/>
        </w:rPr>
        <w:t>Як отримати допомогу?</w:t>
      </w:r>
    </w:p>
    <w:p w:rsidR="00A67B0A" w:rsidRDefault="00A67B0A" w:rsidP="00A67B0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A67B0A" w:rsidRPr="00EF1B96" w:rsidRDefault="00A67B0A" w:rsidP="00A67B0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О</w:t>
      </w:r>
      <w:r w:rsidRPr="00EF1B96">
        <w:t>тримати правову допомогу можна, особисто звернувшись до найближчого </w:t>
      </w:r>
      <w:hyperlink r:id="rId6" w:tgtFrame="_blank" w:history="1">
        <w:r w:rsidRPr="00EF1B96">
          <w:rPr>
            <w:rStyle w:val="a5"/>
            <w:color w:val="auto"/>
            <w:u w:val="none"/>
          </w:rPr>
          <w:t>центру з надання безоплатної вторинної правової допомоги або бюро правової допомоги</w:t>
        </w:r>
      </w:hyperlink>
      <w:r w:rsidRPr="00EF1B96">
        <w:t>.</w:t>
      </w:r>
      <w:r>
        <w:t xml:space="preserve"> </w:t>
      </w:r>
      <w:r w:rsidRPr="00EF1B96">
        <w:t>Контакти центрів</w:t>
      </w:r>
      <w:r>
        <w:t xml:space="preserve"> та бюро ви можете знайти за адресою </w:t>
      </w:r>
      <w:hyperlink r:id="rId7" w:history="1">
        <w:r w:rsidRPr="00EF1B96">
          <w:rPr>
            <w:rStyle w:val="a5"/>
            <w:b/>
          </w:rPr>
          <w:t>www.legalaid.gov.ua</w:t>
        </w:r>
      </w:hyperlink>
      <w:r w:rsidRPr="00EF1B96">
        <w:t xml:space="preserve">  </w:t>
      </w:r>
    </w:p>
    <w:p w:rsidR="00A67B0A" w:rsidRDefault="00A67B0A" w:rsidP="008D3886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</w:p>
    <w:p w:rsidR="008D3886" w:rsidRPr="00EF1B96" w:rsidRDefault="00A67B0A" w:rsidP="008D3886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>
        <w:lastRenderedPageBreak/>
        <w:t>Додатково д</w:t>
      </w:r>
      <w:r w:rsidR="008D3886">
        <w:t xml:space="preserve">ля </w:t>
      </w:r>
      <w:r w:rsidR="008D3886" w:rsidRPr="00EF1B96">
        <w:t>надання правових консультацій</w:t>
      </w:r>
      <w:r>
        <w:t xml:space="preserve"> для вас </w:t>
      </w:r>
      <w:r w:rsidR="008D3886" w:rsidRPr="00EF1B96">
        <w:t xml:space="preserve">цілодобово функціонує  контакт-центр </w:t>
      </w:r>
      <w:proofErr w:type="spellStart"/>
      <w:r w:rsidR="008D3886" w:rsidRPr="00EF1B96">
        <w:rPr>
          <w:lang w:val="ru-RU"/>
        </w:rPr>
        <w:t>системи</w:t>
      </w:r>
      <w:proofErr w:type="spellEnd"/>
      <w:r w:rsidR="008D3886" w:rsidRPr="00EF1B96">
        <w:rPr>
          <w:lang w:val="ru-RU"/>
        </w:rPr>
        <w:t xml:space="preserve"> </w:t>
      </w:r>
      <w:proofErr w:type="spellStart"/>
      <w:r w:rsidR="008D3886" w:rsidRPr="00EF1B96">
        <w:rPr>
          <w:lang w:val="ru-RU"/>
        </w:rPr>
        <w:t>безоплатної</w:t>
      </w:r>
      <w:proofErr w:type="spellEnd"/>
      <w:r w:rsidR="008D3886" w:rsidRPr="00EF1B96">
        <w:rPr>
          <w:lang w:val="ru-RU"/>
        </w:rPr>
        <w:t xml:space="preserve"> </w:t>
      </w:r>
      <w:proofErr w:type="spellStart"/>
      <w:r w:rsidR="008D3886" w:rsidRPr="00EF1B96">
        <w:rPr>
          <w:lang w:val="ru-RU"/>
        </w:rPr>
        <w:t>правової</w:t>
      </w:r>
      <w:proofErr w:type="spellEnd"/>
      <w:r w:rsidR="008D3886" w:rsidRPr="00EF1B96">
        <w:rPr>
          <w:lang w:val="ru-RU"/>
        </w:rPr>
        <w:t xml:space="preserve"> </w:t>
      </w:r>
      <w:proofErr w:type="spellStart"/>
      <w:r w:rsidR="008D3886" w:rsidRPr="00EF1B96">
        <w:rPr>
          <w:lang w:val="ru-RU"/>
        </w:rPr>
        <w:t>допомоги</w:t>
      </w:r>
      <w:proofErr w:type="spellEnd"/>
      <w:r w:rsidR="008D3886" w:rsidRPr="00EF1B96">
        <w:rPr>
          <w:lang w:val="ru-RU"/>
        </w:rPr>
        <w:t xml:space="preserve"> за номером</w:t>
      </w:r>
      <w:r w:rsidR="008D3886" w:rsidRPr="00EF1B96">
        <w:t> </w:t>
      </w:r>
      <w:r w:rsidR="008D3886" w:rsidRPr="00EF1B96">
        <w:rPr>
          <w:b/>
          <w:lang w:val="ru-RU"/>
        </w:rPr>
        <w:t>0 (800) 213 103</w:t>
      </w:r>
      <w:r w:rsidR="008D3886" w:rsidRPr="00EF1B96">
        <w:t>. Дзвінки зі стаціонарних та мобільних телефонів у межах України безкоштовні.</w:t>
      </w:r>
    </w:p>
    <w:p w:rsidR="008D388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:rsidR="008D3886" w:rsidRPr="00EF1B9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EF1B96">
        <w:rPr>
          <w:shd w:val="clear" w:color="auto" w:fill="FFFFFF"/>
        </w:rPr>
        <w:t>Окремо зазначу,</w:t>
      </w:r>
      <w:r w:rsidR="00EF1B96" w:rsidRPr="00EF1B96">
        <w:rPr>
          <w:shd w:val="clear" w:color="auto" w:fill="FFFFFF"/>
        </w:rPr>
        <w:t xml:space="preserve"> що</w:t>
      </w:r>
      <w:r w:rsidRPr="00EF1B96">
        <w:rPr>
          <w:shd w:val="clear" w:color="auto" w:fill="FFFFFF"/>
        </w:rPr>
        <w:t xml:space="preserve"> система надання без</w:t>
      </w:r>
      <w:r w:rsidR="00EF1B96" w:rsidRPr="00EF1B96">
        <w:rPr>
          <w:shd w:val="clear" w:color="auto" w:fill="FFFFFF"/>
        </w:rPr>
        <w:t>оплатної правової допомоги - це</w:t>
      </w:r>
      <w:r w:rsidRPr="00EF1B96">
        <w:rPr>
          <w:shd w:val="clear" w:color="auto" w:fill="FFFFFF"/>
        </w:rPr>
        <w:t xml:space="preserve"> один з найуспішніших проектів Уряду</w:t>
      </w:r>
      <w:r w:rsidR="00EF1B96" w:rsidRPr="00EF1B96">
        <w:rPr>
          <w:shd w:val="clear" w:color="auto" w:fill="FFFFFF"/>
        </w:rPr>
        <w:t xml:space="preserve"> Володимира</w:t>
      </w:r>
      <w:r w:rsidRPr="00EF1B96">
        <w:rPr>
          <w:shd w:val="clear" w:color="auto" w:fill="FFFFFF"/>
        </w:rPr>
        <w:t xml:space="preserve"> </w:t>
      </w:r>
      <w:proofErr w:type="spellStart"/>
      <w:r w:rsidRPr="00EF1B96">
        <w:rPr>
          <w:shd w:val="clear" w:color="auto" w:fill="FFFFFF"/>
        </w:rPr>
        <w:t>Гройсмана</w:t>
      </w:r>
      <w:proofErr w:type="spellEnd"/>
      <w:r w:rsidRPr="00EF1B96">
        <w:rPr>
          <w:shd w:val="clear" w:color="auto" w:fill="FFFFFF"/>
        </w:rPr>
        <w:t xml:space="preserve">. </w:t>
      </w:r>
    </w:p>
    <w:p w:rsidR="008D3886" w:rsidRPr="00EF1B9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</w:p>
    <w:p w:rsidR="008D3886" w:rsidRPr="00EF1B96" w:rsidRDefault="008D388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EF1B96">
        <w:rPr>
          <w:shd w:val="clear" w:color="auto" w:fill="FFFFFF"/>
        </w:rPr>
        <w:t>Зараз в Україні працює 428 бюро правової допомоги, 23 регіональних та 84 місцевих центрів, загалом 535 точок доступу до правових послуг. Фактично, відділення мережі представлені по всій країні: від великого міста до найменшої ОТГ.</w:t>
      </w:r>
    </w:p>
    <w:p w:rsidR="008D3886" w:rsidRPr="00EF1B96" w:rsidRDefault="008D3886" w:rsidP="008D3886">
      <w:pPr>
        <w:spacing w:before="100" w:beforeAutospacing="1" w:after="100" w:afterAutospacing="1"/>
        <w:rPr>
          <w:rFonts w:ascii="Times New Roman" w:hAnsi="Times New Roman"/>
          <w:bCs/>
          <w:iCs/>
          <w:sz w:val="24"/>
          <w:szCs w:val="24"/>
          <w:lang w:eastAsia="uk-UA"/>
        </w:rPr>
      </w:pPr>
      <w:r w:rsidRPr="00EF1B96">
        <w:rPr>
          <w:rFonts w:ascii="Times New Roman" w:eastAsia="Times New Roman" w:hAnsi="Times New Roman" w:cs="Times New Roman"/>
          <w:sz w:val="24"/>
          <w:szCs w:val="24"/>
          <w:lang w:eastAsia="uk-UA"/>
        </w:rPr>
        <w:t>Ми постійно працюємо над розширенням доступу до послуг.</w:t>
      </w:r>
      <w:r w:rsidRPr="00EF1B9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EF1B9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Починаючи</w:t>
      </w:r>
      <w:r w:rsidRPr="00EF1B96">
        <w:rPr>
          <w:rFonts w:ascii="Times New Roman" w:hAnsi="Times New Roman"/>
          <w:bCs/>
          <w:iCs/>
          <w:sz w:val="24"/>
          <w:szCs w:val="24"/>
          <w:lang w:eastAsia="uk-UA"/>
        </w:rPr>
        <w:t xml:space="preserve"> з листопада минулого року</w:t>
      </w:r>
      <w:r w:rsidR="00EF1B96" w:rsidRPr="00EF1B96">
        <w:rPr>
          <w:rFonts w:ascii="Times New Roman" w:hAnsi="Times New Roman"/>
          <w:bCs/>
          <w:iCs/>
          <w:sz w:val="24"/>
          <w:szCs w:val="24"/>
          <w:lang w:eastAsia="uk-UA"/>
        </w:rPr>
        <w:t>,</w:t>
      </w:r>
      <w:r w:rsidRPr="00EF1B96">
        <w:rPr>
          <w:rFonts w:ascii="Times New Roman" w:hAnsi="Times New Roman"/>
          <w:bCs/>
          <w:iCs/>
          <w:sz w:val="24"/>
          <w:szCs w:val="24"/>
          <w:lang w:eastAsia="uk-UA"/>
        </w:rPr>
        <w:t xml:space="preserve"> особи з вадами слуху отримали можливість звернутися до контактного центру системи надання безоплатної правової допомоги та отримати консультації і роз’яснення з правових питань. </w:t>
      </w:r>
    </w:p>
    <w:p w:rsidR="008D3886" w:rsidRPr="00EF1B96" w:rsidRDefault="008D3886" w:rsidP="008D3886">
      <w:pPr>
        <w:spacing w:before="100" w:beforeAutospacing="1" w:after="100" w:afterAutospacing="1" w:line="240" w:lineRule="auto"/>
        <w:rPr>
          <w:rFonts w:ascii="Times New Roman" w:hAnsi="Times New Roman"/>
          <w:bCs/>
          <w:iCs/>
          <w:sz w:val="24"/>
          <w:szCs w:val="24"/>
          <w:lang w:eastAsia="uk-UA"/>
        </w:rPr>
      </w:pPr>
      <w:r w:rsidRPr="00EF1B96">
        <w:rPr>
          <w:rFonts w:ascii="Times New Roman" w:hAnsi="Times New Roman" w:cs="Times New Roman"/>
          <w:sz w:val="24"/>
          <w:szCs w:val="24"/>
          <w:shd w:val="clear" w:color="auto" w:fill="FFFFFF"/>
        </w:rPr>
        <w:t>Більше того,</w:t>
      </w:r>
      <w:r w:rsidRPr="00EF1B96">
        <w:rPr>
          <w:shd w:val="clear" w:color="auto" w:fill="FFFFFF"/>
        </w:rPr>
        <w:t xml:space="preserve"> в</w:t>
      </w:r>
      <w:r w:rsidRPr="00EF1B96">
        <w:rPr>
          <w:rFonts w:ascii="Times New Roman" w:hAnsi="Times New Roman"/>
          <w:bCs/>
          <w:iCs/>
          <w:sz w:val="24"/>
          <w:szCs w:val="24"/>
          <w:lang w:eastAsia="uk-UA"/>
        </w:rPr>
        <w:t>икористання електронного цифрового п</w:t>
      </w:r>
      <w:r w:rsidR="00EF1B96" w:rsidRPr="00EF1B96">
        <w:rPr>
          <w:rFonts w:ascii="Times New Roman" w:hAnsi="Times New Roman"/>
          <w:bCs/>
          <w:iCs/>
          <w:sz w:val="24"/>
          <w:szCs w:val="24"/>
          <w:lang w:eastAsia="uk-UA"/>
        </w:rPr>
        <w:t>ідпису (Е</w:t>
      </w:r>
      <w:r w:rsidRPr="00EF1B96">
        <w:rPr>
          <w:rFonts w:ascii="Times New Roman" w:hAnsi="Times New Roman"/>
          <w:bCs/>
          <w:iCs/>
          <w:sz w:val="24"/>
          <w:szCs w:val="24"/>
          <w:lang w:eastAsia="uk-UA"/>
        </w:rPr>
        <w:t>Ц</w:t>
      </w:r>
      <w:r w:rsidR="00EF1B96" w:rsidRPr="00EF1B96">
        <w:rPr>
          <w:rFonts w:ascii="Times New Roman" w:hAnsi="Times New Roman"/>
          <w:bCs/>
          <w:iCs/>
          <w:sz w:val="24"/>
          <w:szCs w:val="24"/>
          <w:lang w:eastAsia="uk-UA"/>
        </w:rPr>
        <w:t>П</w:t>
      </w:r>
      <w:r w:rsidRPr="00EF1B96">
        <w:rPr>
          <w:rFonts w:ascii="Times New Roman" w:hAnsi="Times New Roman"/>
          <w:bCs/>
          <w:iCs/>
          <w:sz w:val="24"/>
          <w:szCs w:val="24"/>
          <w:lang w:eastAsia="uk-UA"/>
        </w:rPr>
        <w:t xml:space="preserve">) значно спрощує доступ до документів, які підтверджують право людини на безоплатну вторинну правову допомогу. </w:t>
      </w:r>
    </w:p>
    <w:p w:rsidR="008D3886" w:rsidRPr="00EF1B96" w:rsidRDefault="00EF1B96" w:rsidP="008D38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EF1B96">
        <w:rPr>
          <w:shd w:val="clear" w:color="auto" w:fill="FFFFFF"/>
        </w:rPr>
        <w:t>С</w:t>
      </w:r>
      <w:r w:rsidR="008D3886" w:rsidRPr="00EF1B96">
        <w:rPr>
          <w:shd w:val="clear" w:color="auto" w:fill="FFFFFF"/>
        </w:rPr>
        <w:t>истема безоплатної правової допомоги розвивається і на сьогодні є однією з найуспішніших систем безоплатної правової допомоги в Європі.</w:t>
      </w:r>
    </w:p>
    <w:p w:rsidR="00EA5A75" w:rsidRPr="008D3886" w:rsidRDefault="00EA5A75" w:rsidP="008D3886">
      <w:pPr>
        <w:rPr>
          <w:shd w:val="clear" w:color="auto" w:fill="FFFFFF"/>
        </w:rPr>
      </w:pPr>
    </w:p>
    <w:sectPr w:rsidR="00EA5A75" w:rsidRPr="008D3886" w:rsidSect="00631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4C2"/>
    <w:multiLevelType w:val="hybridMultilevel"/>
    <w:tmpl w:val="6AA6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0E3A"/>
    <w:multiLevelType w:val="hybridMultilevel"/>
    <w:tmpl w:val="187A69A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4C2ED8"/>
    <w:multiLevelType w:val="hybridMultilevel"/>
    <w:tmpl w:val="C6A2A8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05A3A"/>
    <w:multiLevelType w:val="hybridMultilevel"/>
    <w:tmpl w:val="9800B674"/>
    <w:lvl w:ilvl="0" w:tplc="C046C5E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FA66486"/>
    <w:multiLevelType w:val="hybridMultilevel"/>
    <w:tmpl w:val="2E9698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A63B2"/>
    <w:multiLevelType w:val="hybridMultilevel"/>
    <w:tmpl w:val="FA6C9C5A"/>
    <w:lvl w:ilvl="0" w:tplc="C046C5E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DA5603A"/>
    <w:multiLevelType w:val="hybridMultilevel"/>
    <w:tmpl w:val="BD22777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EDB4E98"/>
    <w:multiLevelType w:val="hybridMultilevel"/>
    <w:tmpl w:val="BB0AE6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F62D1"/>
    <w:multiLevelType w:val="hybridMultilevel"/>
    <w:tmpl w:val="D8D26DB0"/>
    <w:lvl w:ilvl="0" w:tplc="C046C5E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A4D2300"/>
    <w:multiLevelType w:val="hybridMultilevel"/>
    <w:tmpl w:val="CDA852EA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E6C"/>
    <w:rsid w:val="000D7473"/>
    <w:rsid w:val="00110017"/>
    <w:rsid w:val="00110478"/>
    <w:rsid w:val="001522EB"/>
    <w:rsid w:val="00171919"/>
    <w:rsid w:val="001D0389"/>
    <w:rsid w:val="00204187"/>
    <w:rsid w:val="0027225C"/>
    <w:rsid w:val="00277E6C"/>
    <w:rsid w:val="002940AB"/>
    <w:rsid w:val="003A3EE8"/>
    <w:rsid w:val="00496810"/>
    <w:rsid w:val="004B26F4"/>
    <w:rsid w:val="0051296C"/>
    <w:rsid w:val="005812EA"/>
    <w:rsid w:val="0059355A"/>
    <w:rsid w:val="005D3114"/>
    <w:rsid w:val="00626F54"/>
    <w:rsid w:val="00631256"/>
    <w:rsid w:val="00631526"/>
    <w:rsid w:val="006929DF"/>
    <w:rsid w:val="006B4157"/>
    <w:rsid w:val="006D3F86"/>
    <w:rsid w:val="006F55C1"/>
    <w:rsid w:val="007140EA"/>
    <w:rsid w:val="008D1108"/>
    <w:rsid w:val="008D3886"/>
    <w:rsid w:val="0090245F"/>
    <w:rsid w:val="009A5B18"/>
    <w:rsid w:val="00A60A47"/>
    <w:rsid w:val="00A67B0A"/>
    <w:rsid w:val="00A97802"/>
    <w:rsid w:val="00B645CE"/>
    <w:rsid w:val="00C4759F"/>
    <w:rsid w:val="00C60959"/>
    <w:rsid w:val="00CF5623"/>
    <w:rsid w:val="00D32334"/>
    <w:rsid w:val="00D410CA"/>
    <w:rsid w:val="00DA5AD8"/>
    <w:rsid w:val="00DD6569"/>
    <w:rsid w:val="00E277E6"/>
    <w:rsid w:val="00EA5A75"/>
    <w:rsid w:val="00EC4419"/>
    <w:rsid w:val="00EF1B96"/>
    <w:rsid w:val="00F0423F"/>
    <w:rsid w:val="00F12398"/>
    <w:rsid w:val="00F1740A"/>
    <w:rsid w:val="00F536DB"/>
    <w:rsid w:val="00F648A6"/>
    <w:rsid w:val="00F6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86"/>
  </w:style>
  <w:style w:type="paragraph" w:styleId="2">
    <w:name w:val="heading 2"/>
    <w:basedOn w:val="a"/>
    <w:link w:val="20"/>
    <w:uiPriority w:val="9"/>
    <w:qFormat/>
    <w:rsid w:val="001522E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7E6C"/>
    <w:rPr>
      <w:b/>
      <w:bCs/>
    </w:rPr>
  </w:style>
  <w:style w:type="character" w:styleId="a5">
    <w:name w:val="Hyperlink"/>
    <w:basedOn w:val="a0"/>
    <w:uiPriority w:val="99"/>
    <w:unhideWhenUsed/>
    <w:rsid w:val="00277E6C"/>
    <w:rPr>
      <w:color w:val="0000FF"/>
      <w:u w:val="single"/>
    </w:rPr>
  </w:style>
  <w:style w:type="paragraph" w:customStyle="1" w:styleId="rvps2">
    <w:name w:val="rvps2"/>
    <w:basedOn w:val="a"/>
    <w:uiPriority w:val="99"/>
    <w:rsid w:val="001719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1919"/>
  </w:style>
  <w:style w:type="paragraph" w:customStyle="1" w:styleId="1">
    <w:name w:val="Без интервала1"/>
    <w:uiPriority w:val="1"/>
    <w:qFormat/>
    <w:rsid w:val="00204187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1522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alai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alaid.gov.ua/ua/local-centres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3880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z.levitska</dc:creator>
  <cp:keywords/>
  <dc:description/>
  <cp:lastModifiedBy>first</cp:lastModifiedBy>
  <cp:revision>4</cp:revision>
  <dcterms:created xsi:type="dcterms:W3CDTF">2019-07-07T20:16:00Z</dcterms:created>
  <dcterms:modified xsi:type="dcterms:W3CDTF">2019-07-08T07:02:00Z</dcterms:modified>
</cp:coreProperties>
</file>